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0D" w:rsidRDefault="00DA4331">
      <w:r>
        <w:rPr>
          <w:noProof/>
          <w:lang w:eastAsia="tr-TR"/>
        </w:rPr>
        <w:drawing>
          <wp:inline distT="0" distB="0" distL="0" distR="0">
            <wp:extent cx="1181597" cy="720958"/>
            <wp:effectExtent l="19050" t="0" r="0" b="0"/>
            <wp:docPr id="1" name="Resim 1" descr="badur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ur 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27" cy="72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31" w:rsidRPr="00DA4331" w:rsidRDefault="00DA4331">
      <w:pPr>
        <w:rPr>
          <w:rFonts w:ascii="Arial" w:hAnsi="Arial" w:cs="Arial"/>
          <w:b/>
          <w:bCs/>
          <w:color w:val="181512"/>
          <w:sz w:val="24"/>
          <w:szCs w:val="24"/>
        </w:rPr>
      </w:pPr>
      <w:r w:rsidRPr="007A306E">
        <w:rPr>
          <w:rFonts w:ascii="Arial" w:hAnsi="Arial" w:cs="Arial"/>
          <w:b/>
          <w:bCs/>
          <w:color w:val="181512"/>
          <w:sz w:val="24"/>
          <w:szCs w:val="24"/>
        </w:rPr>
        <w:t>TAŞINMA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5702"/>
      </w:tblGrid>
      <w:tr w:rsidR="00DA4331" w:rsidRPr="007A306E" w:rsidTr="00B77C0A">
        <w:trPr>
          <w:trHeight w:val="632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306E">
              <w:rPr>
                <w:rFonts w:ascii="Arial" w:hAnsi="Arial" w:cs="Arial"/>
                <w:b/>
                <w:bCs/>
                <w:color w:val="181512"/>
              </w:rPr>
              <w:t>TAŞINMANIN</w:t>
            </w:r>
          </w:p>
        </w:tc>
      </w:tr>
      <w:tr w:rsidR="00DA4331" w:rsidRPr="007A306E" w:rsidTr="00B77C0A">
        <w:trPr>
          <w:trHeight w:val="63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  <w:r w:rsidRPr="007A306E">
              <w:rPr>
                <w:rFonts w:ascii="Arial" w:hAnsi="Arial" w:cs="Arial"/>
                <w:color w:val="181512"/>
                <w:spacing w:val="-5"/>
                <w:sz w:val="20"/>
                <w:szCs w:val="20"/>
              </w:rPr>
              <w:t>Başlangıç Tarihi</w:t>
            </w:r>
            <w:r w:rsidRPr="007A306E">
              <w:rPr>
                <w:rFonts w:ascii="Arial" w:hAnsi="Arial" w:cs="Arial"/>
                <w:color w:val="181512"/>
                <w:spacing w:val="-5"/>
                <w:sz w:val="20"/>
                <w:szCs w:val="20"/>
              </w:rPr>
              <w:tab/>
              <w:t>: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1" w:rsidRPr="007A306E" w:rsidRDefault="002F2B2F" w:rsidP="00B77C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 xml:space="preserve">Tanzim </w:t>
            </w:r>
            <w:r w:rsidR="00DA4331"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>i</w:t>
            </w:r>
            <w:r w:rsidR="00DA4331"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</w:r>
            <w:r w:rsidR="00DA4331"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</w:r>
            <w:r w:rsidR="00DA4331"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</w:r>
            <w:r w:rsidR="00DA4331"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  <w:t>:</w:t>
            </w:r>
          </w:p>
        </w:tc>
      </w:tr>
      <w:tr w:rsidR="00DA4331" w:rsidRPr="007A306E" w:rsidTr="00B77C0A">
        <w:trPr>
          <w:trHeight w:val="63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  <w:r w:rsidRPr="007A306E">
              <w:rPr>
                <w:rFonts w:ascii="Arial" w:hAnsi="Arial" w:cs="Arial"/>
                <w:color w:val="181512"/>
                <w:spacing w:val="-5"/>
                <w:sz w:val="20"/>
                <w:szCs w:val="20"/>
              </w:rPr>
              <w:t>Bitiş Tarihi</w:t>
            </w:r>
            <w:r w:rsidRPr="007A306E">
              <w:rPr>
                <w:rFonts w:ascii="Arial" w:hAnsi="Arial" w:cs="Arial"/>
                <w:color w:val="181512"/>
                <w:spacing w:val="-5"/>
                <w:sz w:val="20"/>
                <w:szCs w:val="20"/>
              </w:rPr>
              <w:tab/>
              <w:t>: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>Daire no</w:t>
            </w: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</w: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</w:r>
            <w:r w:rsidRPr="007A306E">
              <w:rPr>
                <w:rFonts w:ascii="Arial" w:hAnsi="Arial" w:cs="Arial"/>
                <w:color w:val="181512"/>
                <w:sz w:val="20"/>
                <w:szCs w:val="20"/>
              </w:rPr>
              <w:tab/>
            </w: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  <w:t>:</w:t>
            </w:r>
          </w:p>
        </w:tc>
      </w:tr>
      <w:tr w:rsidR="00DA4331" w:rsidRPr="007A306E" w:rsidTr="00B77C0A">
        <w:trPr>
          <w:trHeight w:val="632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single" w:sz="4" w:space="0" w:color="auto"/>
              <w:bottom w:val="nil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>Daire sahibi adı soyadı</w:t>
            </w: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</w: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  <w:t>:</w:t>
            </w:r>
          </w:p>
        </w:tc>
      </w:tr>
      <w:tr w:rsidR="00DA4331" w:rsidRPr="007A306E" w:rsidTr="00B77C0A">
        <w:trPr>
          <w:trHeight w:val="632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bottom w:val="single" w:sz="4" w:space="0" w:color="auto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 xml:space="preserve">Daire sahibi </w:t>
            </w:r>
            <w:proofErr w:type="gramStart"/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>Tel.No.</w:t>
            </w:r>
            <w:proofErr w:type="gramEnd"/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</w: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  <w:t>:</w:t>
            </w:r>
          </w:p>
        </w:tc>
      </w:tr>
      <w:tr w:rsidR="00DA4331" w:rsidRPr="007A306E" w:rsidTr="00B77C0A">
        <w:trPr>
          <w:trHeight w:val="632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single" w:sz="4" w:space="0" w:color="auto"/>
              <w:bottom w:val="nil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>Yüklenici firma yetkili adı soyadı</w:t>
            </w: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  <w:t>:</w:t>
            </w:r>
          </w:p>
        </w:tc>
      </w:tr>
      <w:tr w:rsidR="00DA4331" w:rsidRPr="007A306E" w:rsidTr="00B77C0A">
        <w:trPr>
          <w:trHeight w:val="632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nil"/>
              <w:bottom w:val="single" w:sz="4" w:space="0" w:color="auto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 xml:space="preserve">Yüklenici firma yetkili </w:t>
            </w:r>
            <w:proofErr w:type="gramStart"/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>Tel.No.</w:t>
            </w:r>
            <w:proofErr w:type="gramEnd"/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  <w:t>:</w:t>
            </w:r>
          </w:p>
        </w:tc>
      </w:tr>
      <w:tr w:rsidR="00DA4331" w:rsidRPr="007A306E" w:rsidTr="00B77C0A">
        <w:trPr>
          <w:trHeight w:val="931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  <w:vAlign w:val="center"/>
          </w:tcPr>
          <w:p w:rsidR="00DA4331" w:rsidRPr="007A306E" w:rsidRDefault="00DA4331" w:rsidP="00B77C0A">
            <w:pPr>
              <w:spacing w:after="0" w:line="240" w:lineRule="auto"/>
              <w:rPr>
                <w:rFonts w:ascii="Arial" w:hAnsi="Arial" w:cs="Arial"/>
              </w:rPr>
            </w:pP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>İmza</w:t>
            </w: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</w: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</w: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</w:r>
            <w:r w:rsidRPr="007A306E">
              <w:rPr>
                <w:rFonts w:ascii="Arial" w:hAnsi="Arial" w:cs="Arial"/>
                <w:color w:val="181512"/>
                <w:spacing w:val="-10"/>
                <w:sz w:val="20"/>
                <w:szCs w:val="20"/>
              </w:rPr>
              <w:tab/>
              <w:t>:</w:t>
            </w:r>
          </w:p>
        </w:tc>
      </w:tr>
    </w:tbl>
    <w:p w:rsidR="00DA4331" w:rsidRPr="002F2B2F" w:rsidRDefault="00DA4331" w:rsidP="00DA4331">
      <w:p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b/>
          <w:color w:val="181512"/>
          <w:sz w:val="18"/>
          <w:szCs w:val="18"/>
          <w:lang w:eastAsia="tr-TR"/>
        </w:rPr>
      </w:pPr>
      <w:r w:rsidRPr="002F2B2F">
        <w:rPr>
          <w:rFonts w:ascii="Arial" w:hAnsi="Arial" w:cs="Arial"/>
          <w:b/>
          <w:bCs/>
          <w:color w:val="181512"/>
          <w:sz w:val="18"/>
          <w:szCs w:val="18"/>
          <w:lang w:eastAsia="tr-TR"/>
        </w:rPr>
        <w:t xml:space="preserve">Taşınma </w:t>
      </w:r>
      <w:proofErr w:type="gramStart"/>
      <w:r w:rsidRPr="002F2B2F">
        <w:rPr>
          <w:rFonts w:ascii="Arial" w:hAnsi="Arial" w:cs="Arial"/>
          <w:b/>
          <w:bCs/>
          <w:color w:val="181512"/>
          <w:sz w:val="18"/>
          <w:szCs w:val="18"/>
          <w:lang w:eastAsia="tr-TR"/>
        </w:rPr>
        <w:t>prosedürleri</w:t>
      </w:r>
      <w:proofErr w:type="gramEnd"/>
      <w:r w:rsidRPr="002F2B2F">
        <w:rPr>
          <w:rFonts w:ascii="Arial" w:hAnsi="Arial" w:cs="Arial"/>
          <w:b/>
          <w:bCs/>
          <w:color w:val="181512"/>
          <w:sz w:val="18"/>
          <w:szCs w:val="18"/>
          <w:lang w:eastAsia="tr-TR"/>
        </w:rPr>
        <w:t xml:space="preserve"> tarafımdan </w:t>
      </w:r>
      <w:r w:rsidR="002F2B2F" w:rsidRPr="002F2B2F">
        <w:rPr>
          <w:rFonts w:ascii="Arial" w:hAnsi="Arial" w:cs="Arial"/>
          <w:b/>
          <w:bCs/>
          <w:color w:val="181512"/>
          <w:sz w:val="18"/>
          <w:szCs w:val="18"/>
          <w:lang w:eastAsia="tr-TR"/>
        </w:rPr>
        <w:t>okunmuştur, belirtilen</w:t>
      </w:r>
      <w:r w:rsidRPr="002F2B2F">
        <w:rPr>
          <w:rFonts w:ascii="Arial" w:hAnsi="Arial" w:cs="Arial"/>
          <w:b/>
          <w:bCs/>
          <w:color w:val="181512"/>
          <w:sz w:val="18"/>
          <w:szCs w:val="18"/>
          <w:lang w:eastAsia="tr-TR"/>
        </w:rPr>
        <w:t xml:space="preserve"> konulara uyacağımı taahhüt ederim.</w:t>
      </w:r>
      <w:r w:rsidRPr="002F2B2F">
        <w:rPr>
          <w:rFonts w:ascii="Arial" w:hAnsi="Arial" w:cs="Arial"/>
          <w:b/>
          <w:color w:val="181512"/>
          <w:sz w:val="18"/>
          <w:szCs w:val="18"/>
          <w:lang w:eastAsia="tr-TR"/>
        </w:rPr>
        <w:t xml:space="preserve">    </w:t>
      </w:r>
    </w:p>
    <w:p w:rsidR="00DA4331" w:rsidRPr="007A306E" w:rsidRDefault="00DA4331" w:rsidP="00DA4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1512"/>
          <w:sz w:val="12"/>
          <w:szCs w:val="12"/>
        </w:rPr>
      </w:pPr>
    </w:p>
    <w:p w:rsidR="00DA4331" w:rsidRPr="00DA4331" w:rsidRDefault="00DA4331" w:rsidP="00DA4331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4"/>
          <w:szCs w:val="14"/>
          <w:lang w:eastAsia="tr-TR"/>
        </w:rPr>
      </w:pPr>
      <w:proofErr w:type="gramStart"/>
      <w:r w:rsidRPr="007A306E">
        <w:rPr>
          <w:rFonts w:ascii="Arial" w:hAnsi="Arial" w:cs="Arial"/>
          <w:b/>
          <w:bCs/>
          <w:color w:val="181512"/>
          <w:sz w:val="14"/>
          <w:szCs w:val="14"/>
          <w:lang w:eastAsia="tr-TR"/>
        </w:rPr>
        <w:t>Giriş</w:t>
      </w:r>
      <w:r>
        <w:rPr>
          <w:rFonts w:ascii="Arial" w:hAnsi="Arial" w:cs="Arial"/>
          <w:color w:val="181512"/>
          <w:sz w:val="14"/>
          <w:szCs w:val="14"/>
          <w:lang w:eastAsia="tr-TR"/>
        </w:rPr>
        <w:t>: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Bu</w:t>
      </w:r>
      <w:proofErr w:type="gramEnd"/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 talimat </w:t>
      </w:r>
      <w:r>
        <w:rPr>
          <w:rFonts w:ascii="Arial" w:hAnsi="Arial" w:cs="Arial"/>
          <w:color w:val="181512"/>
          <w:sz w:val="12"/>
          <w:szCs w:val="12"/>
          <w:lang w:eastAsia="tr-TR"/>
        </w:rPr>
        <w:t>BADUR BOĞAZİÇİ EVLERİ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 sınırları içinde kalan ve Blok katlarında gerçekleşecek taşınma sırasında uyulması gereken kuralları içerir. </w:t>
      </w:r>
    </w:p>
    <w:p w:rsidR="00DA4331" w:rsidRPr="007A306E" w:rsidRDefault="00DA4331" w:rsidP="00DA4331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2"/>
          <w:szCs w:val="12"/>
          <w:lang w:eastAsia="tr-TR"/>
        </w:rPr>
      </w:pPr>
    </w:p>
    <w:p w:rsidR="00DA4331" w:rsidRPr="007A306E" w:rsidRDefault="00DA4331" w:rsidP="00DA4331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4"/>
          <w:szCs w:val="14"/>
          <w:lang w:eastAsia="tr-TR"/>
        </w:rPr>
      </w:pPr>
      <w:r w:rsidRPr="007A306E">
        <w:rPr>
          <w:rFonts w:ascii="Arial" w:hAnsi="Arial" w:cs="Arial"/>
          <w:b/>
          <w:bCs/>
          <w:color w:val="181512"/>
          <w:sz w:val="14"/>
          <w:szCs w:val="14"/>
          <w:lang w:eastAsia="tr-TR"/>
        </w:rPr>
        <w:t>1. Öncelikli uyulması gereken kurallar:</w:t>
      </w:r>
    </w:p>
    <w:p w:rsidR="00DA4331" w:rsidRPr="007A306E" w:rsidRDefault="00DA4331" w:rsidP="00DA4331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2"/>
          <w:szCs w:val="12"/>
          <w:lang w:eastAsia="tr-TR"/>
        </w:rPr>
      </w:pPr>
    </w:p>
    <w:p w:rsidR="00DA4331" w:rsidRPr="007A306E" w:rsidRDefault="00DA4331" w:rsidP="00DA4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Malik ise tapu, kimlik fotokopisi ve aile fert bilgileri alınır.</w:t>
      </w:r>
    </w:p>
    <w:p w:rsidR="00DA4331" w:rsidRPr="007A306E" w:rsidRDefault="00DA4331" w:rsidP="00DA4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Kiracı ise kat malikinin yazılı bildirimi veya kontratının fotokopi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si ve kimlik fotokopisi ile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aile fert bilgileri istenir. Malik telefon ile aranarak onayı alınır.</w:t>
      </w:r>
    </w:p>
    <w:p w:rsidR="00DA4331" w:rsidRPr="007A306E" w:rsidRDefault="00DA4331" w:rsidP="00DA4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Taşınmaya başlamadan önce binaya giriş ve çıkışlarda e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mniyeti sağlamak amacı ile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bağımsız bölüm maliklerinin isim listelerini </w:t>
      </w:r>
      <w:r w:rsidR="008A7621">
        <w:rPr>
          <w:rFonts w:ascii="Arial" w:hAnsi="Arial" w:cs="Arial"/>
          <w:color w:val="181512"/>
          <w:sz w:val="12"/>
          <w:szCs w:val="12"/>
          <w:lang w:eastAsia="tr-TR"/>
        </w:rPr>
        <w:t>BADUR BOĞAZİÇİ EVLERİ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 Site Yönetimi'ne bildirmeleri gerekir. </w:t>
      </w:r>
    </w:p>
    <w:p w:rsidR="00DA4331" w:rsidRPr="007A306E" w:rsidRDefault="00DA4331" w:rsidP="00DA4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Taşınma çalışmalarına başlamadan önce bağımsız bölümün t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uvaleti, temiz su, pis su </w:t>
      </w:r>
      <w:proofErr w:type="gramStart"/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ve 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elektriği</w:t>
      </w:r>
      <w:proofErr w:type="gramEnd"/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 faal duruma getirilir. Bahsi gecen maddeler faa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l </w:t>
      </w:r>
      <w:proofErr w:type="gramStart"/>
      <w:r>
        <w:rPr>
          <w:rFonts w:ascii="Arial" w:hAnsi="Arial" w:cs="Arial"/>
          <w:color w:val="181512"/>
          <w:sz w:val="12"/>
          <w:szCs w:val="12"/>
          <w:lang w:eastAsia="tr-TR"/>
        </w:rPr>
        <w:t>duruma  gelmeden</w:t>
      </w:r>
      <w:proofErr w:type="gramEnd"/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 çalışma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yaptırılmaz.</w:t>
      </w:r>
    </w:p>
    <w:p w:rsidR="00DA4331" w:rsidRPr="007A306E" w:rsidRDefault="00DA4331" w:rsidP="00DA4331">
      <w:pPr>
        <w:tabs>
          <w:tab w:val="right" w:pos="130"/>
          <w:tab w:val="right" w:pos="300"/>
          <w:tab w:val="right" w:pos="420"/>
        </w:tabs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2"/>
          <w:szCs w:val="12"/>
          <w:lang w:eastAsia="tr-TR"/>
        </w:rPr>
      </w:pPr>
    </w:p>
    <w:p w:rsidR="00DA4331" w:rsidRPr="007A306E" w:rsidRDefault="00DA4331" w:rsidP="00DA4331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4"/>
          <w:szCs w:val="14"/>
          <w:lang w:eastAsia="tr-TR"/>
        </w:rPr>
      </w:pPr>
      <w:r w:rsidRPr="007A306E">
        <w:rPr>
          <w:rFonts w:ascii="Arial" w:hAnsi="Arial" w:cs="Arial"/>
          <w:b/>
          <w:bCs/>
          <w:color w:val="181512"/>
          <w:sz w:val="14"/>
          <w:szCs w:val="14"/>
          <w:lang w:eastAsia="tr-TR"/>
        </w:rPr>
        <w:t>2. Kısıtlayıcı kurallar:</w:t>
      </w:r>
    </w:p>
    <w:p w:rsidR="00DA4331" w:rsidRPr="007A306E" w:rsidRDefault="00DA4331" w:rsidP="00DA4331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2"/>
          <w:szCs w:val="12"/>
          <w:lang w:eastAsia="tr-TR"/>
        </w:rPr>
      </w:pPr>
    </w:p>
    <w:p w:rsidR="00DA4331" w:rsidRPr="007A306E" w:rsidRDefault="00DA4331" w:rsidP="00DA43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Taşınma esnasında çakışmaları önlemek ve yaşa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makta olan sakinlerin zarar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görmesini engellemek için taşınma zamanı en az 3 (Üç) gün önceden Site 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Yönetimi'ne bildirilir.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Normal koşullarda taşınma 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PAZARTESİ-CUMARTESİ günleri, </w:t>
      </w:r>
      <w:proofErr w:type="gramStart"/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09:00</w:t>
      </w:r>
      <w:proofErr w:type="gramEnd"/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 ile 18:00 saatleri içerisinde yapılır.</w:t>
      </w:r>
    </w:p>
    <w:p w:rsidR="00DA4331" w:rsidRPr="007A306E" w:rsidRDefault="00DA4331" w:rsidP="00DA43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Çalışma saatleri bitiminde binada çalışan işçilerin bina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yı terk etmeleri zorunludur.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Konaklama, bina ve çevresinde gezinmek, toplu halde sohbetler yasaktır.</w:t>
      </w:r>
    </w:p>
    <w:p w:rsidR="00DA4331" w:rsidRPr="007A306E" w:rsidRDefault="008A7621" w:rsidP="00DA43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>
        <w:rPr>
          <w:rFonts w:ascii="Arial" w:hAnsi="Arial" w:cs="Arial"/>
          <w:color w:val="181512"/>
          <w:sz w:val="12"/>
          <w:szCs w:val="12"/>
          <w:lang w:eastAsia="tr-TR"/>
        </w:rPr>
        <w:t>BADUR BOĞAZİÇİ EVLERİ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 </w:t>
      </w:r>
      <w:proofErr w:type="spellStart"/>
      <w:r>
        <w:rPr>
          <w:rFonts w:ascii="Arial" w:hAnsi="Arial" w:cs="Arial"/>
          <w:color w:val="181512"/>
          <w:sz w:val="12"/>
          <w:szCs w:val="12"/>
          <w:lang w:eastAsia="tr-TR"/>
        </w:rPr>
        <w:t>nde</w:t>
      </w:r>
      <w:proofErr w:type="spellEnd"/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 </w:t>
      </w:r>
      <w:r w:rsidR="00DA4331" w:rsidRPr="007A306E">
        <w:rPr>
          <w:rFonts w:ascii="Arial" w:hAnsi="Arial" w:cs="Arial"/>
          <w:color w:val="181512"/>
          <w:sz w:val="12"/>
          <w:szCs w:val="12"/>
          <w:lang w:eastAsia="tr-TR"/>
        </w:rPr>
        <w:t>oturan bağımsız bölüm maliklerin</w:t>
      </w:r>
      <w:r w:rsidR="00DA4331">
        <w:rPr>
          <w:rFonts w:ascii="Arial" w:hAnsi="Arial" w:cs="Arial"/>
          <w:color w:val="181512"/>
          <w:sz w:val="12"/>
          <w:szCs w:val="12"/>
          <w:lang w:eastAsia="tr-TR"/>
        </w:rPr>
        <w:t xml:space="preserve">i rahatsız etmemek amacı ile </w:t>
      </w:r>
      <w:r w:rsidR="00DA4331" w:rsidRPr="007A306E">
        <w:rPr>
          <w:rFonts w:ascii="Arial" w:hAnsi="Arial" w:cs="Arial"/>
          <w:color w:val="181512"/>
          <w:sz w:val="12"/>
          <w:szCs w:val="12"/>
          <w:lang w:eastAsia="tr-TR"/>
        </w:rPr>
        <w:t>bağımsız bölüm maliklerinin işçi ve personelinin bir ar</w:t>
      </w:r>
      <w:r w:rsidR="00DA4331">
        <w:rPr>
          <w:rFonts w:ascii="Arial" w:hAnsi="Arial" w:cs="Arial"/>
          <w:color w:val="181512"/>
          <w:sz w:val="12"/>
          <w:szCs w:val="12"/>
          <w:lang w:eastAsia="tr-TR"/>
        </w:rPr>
        <w:t xml:space="preserve">aya gelip gürültü yapmaları, </w:t>
      </w:r>
      <w:r w:rsidR="00DA4331" w:rsidRPr="007A306E">
        <w:rPr>
          <w:rFonts w:ascii="Arial" w:hAnsi="Arial" w:cs="Arial"/>
          <w:color w:val="181512"/>
          <w:sz w:val="12"/>
          <w:szCs w:val="12"/>
          <w:lang w:eastAsia="tr-TR"/>
        </w:rPr>
        <w:t>radyo, teyp gibi cihazları çalmaları kesinlikle yasaktır.</w:t>
      </w:r>
    </w:p>
    <w:p w:rsidR="00DA4331" w:rsidRDefault="00DA4331" w:rsidP="00DA43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Site güvenliğini sağlayan sistemler Site Yönetimi'ne bil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dirilmeden yerinden sökülemez,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açılamaz, yeri değiştirilemez. (yangın algılama </w:t>
      </w:r>
      <w:proofErr w:type="spellStart"/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s</w:t>
      </w:r>
      <w:r>
        <w:rPr>
          <w:rFonts w:ascii="Arial" w:hAnsi="Arial" w:cs="Arial"/>
          <w:color w:val="181512"/>
          <w:sz w:val="12"/>
          <w:szCs w:val="12"/>
          <w:lang w:eastAsia="tr-TR"/>
        </w:rPr>
        <w:t>ensörleri</w:t>
      </w:r>
      <w:proofErr w:type="spellEnd"/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 gibi)</w:t>
      </w:r>
    </w:p>
    <w:p w:rsidR="00DA4331" w:rsidRPr="007A306E" w:rsidRDefault="00DA4331" w:rsidP="00DA43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Gürültülü ve darbeli cihazların çalıştırılma saatleri </w:t>
      </w:r>
      <w:proofErr w:type="gramStart"/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10:00</w:t>
      </w:r>
      <w:proofErr w:type="gramEnd"/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 ile 1</w:t>
      </w:r>
      <w:r w:rsidR="008A7621">
        <w:rPr>
          <w:rFonts w:ascii="Arial" w:hAnsi="Arial" w:cs="Arial"/>
          <w:color w:val="181512"/>
          <w:sz w:val="12"/>
          <w:szCs w:val="12"/>
          <w:lang w:eastAsia="tr-TR"/>
        </w:rPr>
        <w:t>7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:</w:t>
      </w:r>
      <w:r w:rsidR="008A7621">
        <w:rPr>
          <w:rFonts w:ascii="Arial" w:hAnsi="Arial" w:cs="Arial"/>
          <w:color w:val="181512"/>
          <w:sz w:val="12"/>
          <w:szCs w:val="12"/>
          <w:lang w:eastAsia="tr-TR"/>
        </w:rPr>
        <w:t>0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0 arasındadır.</w:t>
      </w:r>
    </w:p>
    <w:p w:rsidR="00DA4331" w:rsidRPr="007A306E" w:rsidRDefault="00DA4331" w:rsidP="00DA4331">
      <w:pPr>
        <w:pStyle w:val="ListeParagraf"/>
        <w:spacing w:after="0" w:line="240" w:lineRule="auto"/>
        <w:ind w:left="-567" w:right="-709"/>
        <w:jc w:val="both"/>
        <w:rPr>
          <w:rFonts w:ascii="Arial" w:hAnsi="Arial" w:cs="Arial"/>
          <w:color w:val="181512"/>
          <w:sz w:val="12"/>
          <w:szCs w:val="12"/>
          <w:lang w:eastAsia="tr-TR"/>
        </w:rPr>
      </w:pPr>
    </w:p>
    <w:p w:rsidR="00DA4331" w:rsidRPr="007A306E" w:rsidRDefault="00DA4331" w:rsidP="00DA4331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4"/>
          <w:szCs w:val="14"/>
          <w:lang w:eastAsia="tr-TR"/>
        </w:rPr>
      </w:pPr>
      <w:r w:rsidRPr="007A306E">
        <w:rPr>
          <w:rFonts w:ascii="Arial" w:hAnsi="Arial" w:cs="Arial"/>
          <w:b/>
          <w:bCs/>
          <w:color w:val="181512"/>
          <w:sz w:val="14"/>
          <w:szCs w:val="14"/>
          <w:lang w:eastAsia="tr-TR"/>
        </w:rPr>
        <w:t>3. Taşınma sırasında uyulması gereken kurallar:</w:t>
      </w:r>
    </w:p>
    <w:p w:rsidR="00DA4331" w:rsidRPr="007A306E" w:rsidRDefault="00DA4331" w:rsidP="00DA4331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2"/>
          <w:szCs w:val="12"/>
          <w:lang w:eastAsia="tr-TR"/>
        </w:rPr>
      </w:pPr>
    </w:p>
    <w:p w:rsidR="00DA4331" w:rsidRPr="007A306E" w:rsidRDefault="00DA4331" w:rsidP="00DA4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Taşınma sırasında sadece </w:t>
      </w:r>
      <w:r w:rsidR="008A7621">
        <w:rPr>
          <w:rFonts w:ascii="Arial" w:hAnsi="Arial" w:cs="Arial"/>
          <w:color w:val="181512"/>
          <w:sz w:val="12"/>
          <w:szCs w:val="12"/>
          <w:lang w:eastAsia="tr-TR"/>
        </w:rPr>
        <w:t>merdivenler kullanılır, asansör kullanılması yasaktır.</w:t>
      </w:r>
    </w:p>
    <w:p w:rsidR="00DA4331" w:rsidRPr="007A306E" w:rsidRDefault="00DA4331" w:rsidP="00DA4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Taşınma sırasında ambalaj malzemeleri, atıkları ve benzeri maddeler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yollara veya bitişik mahallere konulamaz ve dökülemez.</w:t>
      </w:r>
    </w:p>
    <w:p w:rsidR="00DA4331" w:rsidRPr="007A306E" w:rsidRDefault="00DA4331" w:rsidP="00DA4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Taşınma sebebi ile çevre ve ortak alanlar dolaylı ve 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doğrudan kirletildiği </w:t>
      </w:r>
      <w:proofErr w:type="gramStart"/>
      <w:r>
        <w:rPr>
          <w:rFonts w:ascii="Arial" w:hAnsi="Arial" w:cs="Arial"/>
          <w:color w:val="181512"/>
          <w:sz w:val="12"/>
          <w:szCs w:val="12"/>
          <w:lang w:eastAsia="tr-TR"/>
        </w:rPr>
        <w:t>taktirde</w:t>
      </w:r>
      <w:proofErr w:type="gramEnd"/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bağımsız bölüm maliki (yüklenici firma) bunları temizlemekle yükümlüdür. Gecikmes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i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durumunda bağımsız bölüm maliki adına belirlenen 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alan temizlettirilir ve bedeli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tahsil edilir. (Site Yönetimi'nin ihtarından sonra en fazla iki saat içerisinde temizlemenin gerçekleşmesi gereklidir.)</w:t>
      </w:r>
    </w:p>
    <w:p w:rsidR="00DA4331" w:rsidRPr="007A306E" w:rsidRDefault="00DA4331" w:rsidP="00DA4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Taşınma sırasında mahallin çalışma güvenliği mutlaka alınacaktır. Alınacak tedbirler Site Yönetimi'nin belirlediği standartta olacaktır. Ak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si durumlarda Site Yönetimi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tarafından standarda uymayan tedbirleri yeniden alınır ve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 mal sahibine ( yükleniciye)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fatura edilir.</w:t>
      </w:r>
    </w:p>
    <w:p w:rsidR="00DA4331" w:rsidRPr="007A306E" w:rsidRDefault="00DA4331" w:rsidP="00DA4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Güvenlik Elemanları'nın uyarılarına aynen uyulur. E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lemanlar ile tartışılmaz, konu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Güvenlik Vardiya Amiri ya da Güvenlik Müdürü ile çözülür.</w:t>
      </w:r>
    </w:p>
    <w:p w:rsidR="00DA4331" w:rsidRPr="007A306E" w:rsidRDefault="00DA4331" w:rsidP="00DA4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Çevreye zarar gelmesinden yüklenici sorumludur.</w:t>
      </w:r>
    </w:p>
    <w:p w:rsidR="00DA4331" w:rsidRPr="007A306E" w:rsidRDefault="00DA4331" w:rsidP="00DA4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Ortak alanlarda yapılacak tüm çalışmalarda Taşeron Firmalar emniy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et ve temizlik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kurallarına uymakla yükümlüdürler.</w:t>
      </w:r>
    </w:p>
    <w:p w:rsidR="00DA4331" w:rsidRPr="007A306E" w:rsidRDefault="00DA4331" w:rsidP="00DA43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Çalışma sırasında ortak alanlara ve komsu mahall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ere verilecek zararlar, zararı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veren tarafından karşılanır.</w:t>
      </w:r>
    </w:p>
    <w:p w:rsidR="00DA4331" w:rsidRPr="007A306E" w:rsidRDefault="00DA4331" w:rsidP="00DA4331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2"/>
          <w:szCs w:val="12"/>
          <w:lang w:eastAsia="tr-TR"/>
        </w:rPr>
      </w:pPr>
    </w:p>
    <w:p w:rsidR="00DA4331" w:rsidRPr="007A306E" w:rsidRDefault="00DA4331" w:rsidP="00DA4331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4"/>
          <w:szCs w:val="14"/>
          <w:lang w:eastAsia="tr-TR"/>
        </w:rPr>
      </w:pPr>
      <w:r w:rsidRPr="007A306E">
        <w:rPr>
          <w:rFonts w:ascii="Arial" w:hAnsi="Arial" w:cs="Arial"/>
          <w:b/>
          <w:bCs/>
          <w:color w:val="181512"/>
          <w:sz w:val="14"/>
          <w:szCs w:val="14"/>
          <w:lang w:eastAsia="tr-TR"/>
        </w:rPr>
        <w:t>4. Yaptırımlar:</w:t>
      </w:r>
    </w:p>
    <w:p w:rsidR="00DA4331" w:rsidRPr="007A306E" w:rsidRDefault="00DA4331" w:rsidP="00DA4331">
      <w:pPr>
        <w:tabs>
          <w:tab w:val="left" w:pos="460"/>
        </w:tabs>
        <w:autoSpaceDE w:val="0"/>
        <w:autoSpaceDN w:val="0"/>
        <w:adjustRightInd w:val="0"/>
        <w:spacing w:after="0" w:line="240" w:lineRule="auto"/>
        <w:ind w:left="-567" w:right="-709"/>
        <w:rPr>
          <w:rFonts w:ascii="Arial" w:hAnsi="Arial" w:cs="Arial"/>
          <w:color w:val="181512"/>
          <w:sz w:val="12"/>
          <w:szCs w:val="12"/>
          <w:lang w:eastAsia="tr-TR"/>
        </w:rPr>
      </w:pPr>
    </w:p>
    <w:p w:rsidR="00DA4331" w:rsidRDefault="00DA4331" w:rsidP="00DA43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Kat malikleri veya onların bağımsız bölümlerinde çalışanlar ile onlarla ilgili kişilerin site ortak alanlarında meydana getirdikleri zararları v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e hasarı kat maliki üstlenir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ve derhal ödemeyi yapar.</w:t>
      </w:r>
    </w:p>
    <w:p w:rsidR="00DA4331" w:rsidRPr="007A306E" w:rsidRDefault="00DA4331" w:rsidP="00DA43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-709" w:hanging="283"/>
        <w:rPr>
          <w:rFonts w:ascii="Arial" w:hAnsi="Arial" w:cs="Arial"/>
          <w:color w:val="181512"/>
          <w:sz w:val="12"/>
          <w:szCs w:val="12"/>
          <w:lang w:eastAsia="tr-TR"/>
        </w:rPr>
      </w:pP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 xml:space="preserve">İşbu Prosedürlere uyulmadığı takdirde oluşturulacak </w:t>
      </w:r>
      <w:r>
        <w:rPr>
          <w:rFonts w:ascii="Arial" w:hAnsi="Arial" w:cs="Arial"/>
          <w:color w:val="181512"/>
          <w:sz w:val="12"/>
          <w:szCs w:val="12"/>
          <w:lang w:eastAsia="tr-TR"/>
        </w:rPr>
        <w:t xml:space="preserve">Yönetim Talimatında belirlenen </w:t>
      </w:r>
      <w:r w:rsidRPr="007A306E">
        <w:rPr>
          <w:rFonts w:ascii="Arial" w:hAnsi="Arial" w:cs="Arial"/>
          <w:color w:val="181512"/>
          <w:sz w:val="12"/>
          <w:szCs w:val="12"/>
          <w:lang w:eastAsia="tr-TR"/>
        </w:rPr>
        <w:t>cezai yaptırımlar uygulanır.</w:t>
      </w:r>
    </w:p>
    <w:p w:rsidR="00DA4331" w:rsidRDefault="00DA4331"/>
    <w:p w:rsidR="00DA4331" w:rsidRDefault="00DA4331"/>
    <w:sectPr w:rsidR="00DA4331" w:rsidSect="00DA4331"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7FC"/>
    <w:multiLevelType w:val="hybridMultilevel"/>
    <w:tmpl w:val="48CE7B24"/>
    <w:lvl w:ilvl="0" w:tplc="041F0019">
      <w:start w:val="1"/>
      <w:numFmt w:val="lowerLetter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F5322E4"/>
    <w:multiLevelType w:val="hybridMultilevel"/>
    <w:tmpl w:val="791CA7E6"/>
    <w:lvl w:ilvl="0" w:tplc="041F0019">
      <w:start w:val="1"/>
      <w:numFmt w:val="lowerLetter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F2C6FB8"/>
    <w:multiLevelType w:val="hybridMultilevel"/>
    <w:tmpl w:val="47D63A4C"/>
    <w:lvl w:ilvl="0" w:tplc="041F0019">
      <w:start w:val="1"/>
      <w:numFmt w:val="lowerLetter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E8B0D07"/>
    <w:multiLevelType w:val="hybridMultilevel"/>
    <w:tmpl w:val="DB3AD764"/>
    <w:lvl w:ilvl="0" w:tplc="041F0019">
      <w:start w:val="1"/>
      <w:numFmt w:val="lowerLetter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331"/>
    <w:rsid w:val="00234F0D"/>
    <w:rsid w:val="002F2B2F"/>
    <w:rsid w:val="008A7621"/>
    <w:rsid w:val="00DA4331"/>
    <w:rsid w:val="00DF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43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tepe guvenlık</dc:creator>
  <cp:keywords/>
  <dc:description/>
  <cp:lastModifiedBy>tepe guvenlık</cp:lastModifiedBy>
  <cp:revision>3</cp:revision>
  <dcterms:created xsi:type="dcterms:W3CDTF">2017-10-03T07:31:00Z</dcterms:created>
  <dcterms:modified xsi:type="dcterms:W3CDTF">2017-10-03T07:52:00Z</dcterms:modified>
</cp:coreProperties>
</file>